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>315</w:t>
      </w:r>
      <w:r>
        <w:rPr>
          <w:rFonts w:ascii="Times New Roman" w:eastAsia="Times New Roman" w:hAnsi="Times New Roman" w:cs="Times New Roman"/>
          <w:sz w:val="22"/>
          <w:szCs w:val="22"/>
        </w:rPr>
        <w:t>-2003/202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ind w:right="2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марта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г. Нефтеюганск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tabs>
          <w:tab w:val="left" w:pos="567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3 </w:t>
      </w:r>
      <w:r>
        <w:rPr>
          <w:rFonts w:ascii="Times New Roman" w:eastAsia="Times New Roman" w:hAnsi="Times New Roman" w:cs="Times New Roman"/>
          <w:sz w:val="28"/>
          <w:szCs w:val="28"/>
        </w:rPr>
        <w:t>Нефтеюганского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Ханты-Мансийского автономного округа – Югры Агзямова Р.В. (628309 ХМАО-Югра, г. Нефтеюганск, 1 </w:t>
      </w:r>
      <w:r>
        <w:rPr>
          <w:rFonts w:ascii="Times New Roman" w:eastAsia="Times New Roman" w:hAnsi="Times New Roman" w:cs="Times New Roman"/>
          <w:sz w:val="28"/>
          <w:szCs w:val="28"/>
        </w:rPr>
        <w:t>мкр</w:t>
      </w:r>
      <w:r>
        <w:rPr>
          <w:rFonts w:ascii="Times New Roman" w:eastAsia="Times New Roman" w:hAnsi="Times New Roman" w:cs="Times New Roman"/>
          <w:sz w:val="28"/>
          <w:szCs w:val="28"/>
        </w:rPr>
        <w:t>-н, дом 30), рассмотрев в открытом судебном заседании дело об административном правонарушении в отношении: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Чорап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Татьяны Михайловны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52rplc-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41rplc-7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>, являюще</w:t>
      </w:r>
      <w:r>
        <w:rPr>
          <w:rFonts w:ascii="Times New Roman" w:eastAsia="Times New Roman" w:hAnsi="Times New Roman" w:cs="Times New Roman"/>
          <w:sz w:val="28"/>
          <w:szCs w:val="28"/>
        </w:rPr>
        <w:t>йся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президент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МОО «</w:t>
      </w:r>
      <w:r>
        <w:rPr>
          <w:rFonts w:ascii="Times New Roman" w:eastAsia="Times New Roman" w:hAnsi="Times New Roman" w:cs="Times New Roman"/>
          <w:sz w:val="28"/>
          <w:szCs w:val="28"/>
        </w:rPr>
        <w:t>Нефтеюганский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городской молдавский культурный центр «Наш дом</w:t>
      </w:r>
      <w:r>
        <w:rPr>
          <w:rFonts w:ascii="Times New Roman" w:eastAsia="Times New Roman" w:hAnsi="Times New Roman" w:cs="Times New Roman"/>
          <w:sz w:val="28"/>
          <w:szCs w:val="28"/>
        </w:rPr>
        <w:t>», зарегистрированно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проживающе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адресу: </w:t>
      </w:r>
      <w:r>
        <w:rPr>
          <w:rStyle w:val="cat-UserDefinedgrp-54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PassportDatagrp-42rplc-10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Style w:val="cat-ExternalSystemDefinedgrp-53rplc-1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51rplc-1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ч.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15.33 Кодекса Российской Федерации об административных правонарушениях,</w:t>
      </w:r>
    </w:p>
    <w:p>
      <w:pPr>
        <w:spacing w:before="0" w:after="0"/>
        <w:rPr>
          <w:sz w:val="8"/>
          <w:szCs w:val="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С Т А Н О В И Л:</w:t>
      </w:r>
    </w:p>
    <w:p>
      <w:pPr>
        <w:spacing w:before="0" w:after="0"/>
        <w:rPr>
          <w:sz w:val="8"/>
          <w:szCs w:val="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Чорап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Т.М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., являясь </w:t>
      </w:r>
      <w:r>
        <w:rPr>
          <w:rFonts w:ascii="Times New Roman" w:eastAsia="Times New Roman" w:hAnsi="Times New Roman" w:cs="Times New Roman"/>
          <w:sz w:val="28"/>
          <w:szCs w:val="28"/>
        </w:rPr>
        <w:t>президентом МОО «</w:t>
      </w:r>
      <w:r>
        <w:rPr>
          <w:rFonts w:ascii="Times New Roman" w:eastAsia="Times New Roman" w:hAnsi="Times New Roman" w:cs="Times New Roman"/>
          <w:sz w:val="28"/>
          <w:szCs w:val="28"/>
        </w:rPr>
        <w:t>Нефтеюганский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городской молдавский культурный центр «Наш дом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», зарегистрированного по адресу: ХМАО-Югра, г. Нефтеюганск,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11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</w:rPr>
        <w:t>мкр</w:t>
      </w:r>
      <w:r>
        <w:rPr>
          <w:rFonts w:ascii="Times New Roman" w:eastAsia="Times New Roman" w:hAnsi="Times New Roman" w:cs="Times New Roman"/>
          <w:sz w:val="28"/>
          <w:szCs w:val="28"/>
        </w:rPr>
        <w:t>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д. 22, кв. 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не представил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установленный законодательством РФ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срок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сведения для ведения индивидуального (персонифицированного)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(ЕФС-1) за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квартал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2023 года. Фактически отчет предоставлен </w:t>
      </w:r>
      <w:r>
        <w:rPr>
          <w:rFonts w:ascii="Times New Roman" w:eastAsia="Times New Roman" w:hAnsi="Times New Roman" w:cs="Times New Roman"/>
          <w:sz w:val="28"/>
          <w:szCs w:val="28"/>
        </w:rPr>
        <w:t>24.07</w:t>
      </w:r>
      <w:r>
        <w:rPr>
          <w:rFonts w:ascii="Times New Roman" w:eastAsia="Times New Roman" w:hAnsi="Times New Roman" w:cs="Times New Roman"/>
          <w:sz w:val="28"/>
          <w:szCs w:val="28"/>
        </w:rPr>
        <w:t>.2023</w:t>
      </w:r>
      <w:r>
        <w:rPr>
          <w:rFonts w:ascii="Times New Roman" w:eastAsia="Times New Roman" w:hAnsi="Times New Roman" w:cs="Times New Roman"/>
          <w:sz w:val="28"/>
          <w:szCs w:val="28"/>
        </w:rPr>
        <w:t>, вместо 25.</w:t>
      </w:r>
      <w:r>
        <w:rPr>
          <w:rFonts w:ascii="Times New Roman" w:eastAsia="Times New Roman" w:hAnsi="Times New Roman" w:cs="Times New Roman"/>
          <w:sz w:val="28"/>
          <w:szCs w:val="28"/>
        </w:rPr>
        <w:t>04</w:t>
      </w:r>
      <w:r>
        <w:rPr>
          <w:rFonts w:ascii="Times New Roman" w:eastAsia="Times New Roman" w:hAnsi="Times New Roman" w:cs="Times New Roman"/>
          <w:sz w:val="28"/>
          <w:szCs w:val="28"/>
        </w:rPr>
        <w:t>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чем нарушил </w:t>
      </w:r>
      <w:r>
        <w:rPr>
          <w:rFonts w:ascii="Times New Roman" w:eastAsia="Times New Roman" w:hAnsi="Times New Roman" w:cs="Times New Roman"/>
          <w:sz w:val="28"/>
          <w:szCs w:val="28"/>
        </w:rPr>
        <w:t>ст. 17, ст. 19,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ст. 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24.07.1998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125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-ФЗ </w:t>
      </w:r>
      <w:r>
        <w:rPr>
          <w:rFonts w:ascii="Times New Roman" w:eastAsia="Times New Roman" w:hAnsi="Times New Roman" w:cs="Times New Roman"/>
          <w:sz w:val="28"/>
          <w:szCs w:val="28"/>
        </w:rPr>
        <w:t>«О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обязательном социальном страховании от несчастных случаев на производстве и профессиональных заболеваний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судебное заседание </w:t>
      </w:r>
      <w:r>
        <w:rPr>
          <w:rFonts w:ascii="Times New Roman" w:eastAsia="Times New Roman" w:hAnsi="Times New Roman" w:cs="Times New Roman"/>
          <w:sz w:val="28"/>
          <w:szCs w:val="28"/>
        </w:rPr>
        <w:t>Чорап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Т.М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извещенная надлежащим образом о времени и месте рассмотрения административного материала, не явилась, просила рассмотреть дело в ее отсутствие, с правонарушением согласна, что следует из </w:t>
      </w:r>
      <w:r>
        <w:rPr>
          <w:rFonts w:ascii="Times New Roman" w:eastAsia="Times New Roman" w:hAnsi="Times New Roman" w:cs="Times New Roman"/>
          <w:sz w:val="28"/>
          <w:szCs w:val="28"/>
        </w:rPr>
        <w:t>телефонограммы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таких обстоятельствах, в соответствии с требованиями ч. 2 ст. 25.1 КоАП РФ, а также исходя из положений п. 6 постановления Пленума ВС РФ от 24.03.2005 года №5 «О некоторых вопросах, возникающих у судов при применении КоАП РФ» и п. 14 постановления Пленума ВС РФ от 27.12.2007 года №52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Чорап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Т.М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отсутствие.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судья, исследовав материалы дела, считает, что вина </w:t>
      </w:r>
      <w:r>
        <w:rPr>
          <w:rFonts w:ascii="Times New Roman" w:eastAsia="Times New Roman" w:hAnsi="Times New Roman" w:cs="Times New Roman"/>
          <w:sz w:val="28"/>
          <w:szCs w:val="28"/>
        </w:rPr>
        <w:t>Чорап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Т.М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правонарушения полностью доказана и подтверждается следующими доказательствами: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протоколом об 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55rplc-2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sz w:val="28"/>
          <w:szCs w:val="28"/>
        </w:rPr>
        <w:t>.02.2024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согласно которому директор </w:t>
      </w:r>
      <w:r>
        <w:rPr>
          <w:rFonts w:ascii="Times New Roman" w:eastAsia="Times New Roman" w:hAnsi="Times New Roman" w:cs="Times New Roman"/>
          <w:sz w:val="28"/>
          <w:szCs w:val="28"/>
        </w:rPr>
        <w:t>Чорап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Т.М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 представил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установленный законодательством РФ срок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сведения для ведения индивидуального (персонифицированного)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(ЕФС-1) за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квартал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2023 </w:t>
      </w:r>
      <w:r>
        <w:rPr>
          <w:rFonts w:ascii="Times New Roman" w:eastAsia="Times New Roman" w:hAnsi="Times New Roman" w:cs="Times New Roman"/>
          <w:sz w:val="28"/>
          <w:szCs w:val="28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информацией о предоставлении отчета;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выпиской из Единого государственного реестра юридических лиц;</w:t>
      </w:r>
    </w:p>
    <w:p>
      <w:pPr>
        <w:tabs>
          <w:tab w:val="left" w:pos="567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извещением о вызове должностного лица, для составления протокола об административном правонарушении от </w:t>
      </w:r>
      <w:r>
        <w:rPr>
          <w:rFonts w:ascii="Times New Roman" w:eastAsia="Times New Roman" w:hAnsi="Times New Roman" w:cs="Times New Roman"/>
          <w:sz w:val="28"/>
          <w:szCs w:val="28"/>
        </w:rPr>
        <w:t>05.02</w:t>
      </w:r>
      <w:r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списком внутренних почтовых отправлений; отчетом об отслеживании отправления с почтовым идентификатором;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списком внутренних почтовых отправлений о направлении копии протокола об административном правонарушении.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8"/>
        </w:rPr>
        <w:t>п.п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1 п. 2 ст. 17 </w:t>
      </w:r>
      <w:r>
        <w:rPr>
          <w:rFonts w:ascii="Times New Roman" w:eastAsia="Times New Roman" w:hAnsi="Times New Roman" w:cs="Times New Roman"/>
          <w:sz w:val="28"/>
          <w:szCs w:val="28"/>
        </w:rPr>
        <w:t>Федерального закона от 24.07.1998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№ 125-ФЗ «Об обязательном социальном страховании от несчастных случаев на производстве и профессиональных заболеваний», страхователь обязан своевременно представлять в территориальные органы страховщика документы, необходимые для регистрации в качестве страхователя, в случаях, предусмотренных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4" w:anchor="/document/12112505/entry/6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абзацами третьим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4" w:anchor="/document/12112505/entry/6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четвертым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4" w:anchor="/document/12112505/entry/6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пятым части первой статьи 6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настоящего Федерального закона, если такие документы (содержащиеся в них сведения) не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 или такие документы включены в определенный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4" w:anchor="/document/12177515/entry/7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Федеральным законом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от 27 июля 2010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года N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210-ФЗ "Об организации предоставления государственных и муниципальных услуг" перечень документов.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п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 ст. 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24.07.1998 № 125-ФЗ «Об обязательном социальном страховании от несчастных случаев на производстве и профессиональных заболеваний», 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трахователь несет ответственность за неисполнение или ненадлежащее исполнение возложенных на него настоящим Федеральным законом обязанностей по своевременной регистрации в качестве страхователя у страховщика, своевременной и полной уплате страховых взносов, своевременному представлению страховщику установленной отчетности, за своевременную выплату застрахованным отдельных видов обеспечения по страхованию в случаях, установленных настоящим Федеральным законом, а также за достоверность представляемых страховщику сведений, необходимых для назначения застрахованным обеспечения по страхованию.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Привлечение страхователя к ответственности осуществляется страховщиком в порядке, установленном настоящим Федеральным законом.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Привлечение к административной и уголовной ответственности за нарушения требований настоящего Федерального закона осуществляется в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5" w:anchor="/document/12125267/entry/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Кодексом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Российской Федерации об административных правонарушениях и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5" w:anchor="/document/10108000/entry/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Уголовным кодексом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Российской Федерации.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8"/>
        </w:rPr>
        <w:t>п. 1 ст. 24 Федеральн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24.07.1998 № 125-ФЗ «Об обязательном социальном страховании от несчастных случаев на производстве и профессиональных заболеваний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трахователи ежеквартально не позднее 25-го числа месяца, следующего за отчетным периодом, представляют в территориальный орган страховщика по месту их регистрации сведения о начисленных страховых взносах в составе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5" w:anchor="/document/405976449/entry/100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единой формы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сведений, предусмотренной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5" w:anchor="/document/10106192/entry/8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статьей 8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Федерального закона от 1 апреля 1996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года N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27-ФЗ "Об индивидуальном (персонифицированном) учете в системах обязательного пенсионного страхования и обязательного социального страхования"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Чорап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Т.М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судья квалифицирует по ч.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15.33 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  <w:sz w:val="28"/>
          <w:szCs w:val="28"/>
        </w:rPr>
        <w:t>нарушение установленных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4" w:anchor="/document/12112505/entry/2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расчета по начисленным и уплаченным страховым взносам в территориальные органы Фонда социального страхования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наказания судья учитывает характер совершенного правонарушения, личность лица, привлекаемого к административной ответственности.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Обстоятельством, смягчающим административную ответственность в соответствии со ст. 4.2 Кодекса Российской Федерации об административных правонарушениях, мировой судья признает признание вины.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отягчающих административную ответственность, предусмотренных ст. 4.3 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судья не усматривает.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учётом изложенного, руководствуясь ст.ст. 29.9 ч.1, 29.10, 30.1 Кодекса Российской Федерации об административных правонарушениях, судья</w:t>
      </w:r>
    </w:p>
    <w:p>
      <w:pPr>
        <w:spacing w:before="0" w:after="0"/>
        <w:ind w:firstLine="567"/>
        <w:jc w:val="both"/>
        <w:rPr>
          <w:sz w:val="8"/>
          <w:szCs w:val="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jc w:val="center"/>
        <w:rPr>
          <w:sz w:val="8"/>
          <w:szCs w:val="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президент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МОО «</w:t>
      </w:r>
      <w:r>
        <w:rPr>
          <w:rFonts w:ascii="Times New Roman" w:eastAsia="Times New Roman" w:hAnsi="Times New Roman" w:cs="Times New Roman"/>
          <w:sz w:val="28"/>
          <w:szCs w:val="28"/>
        </w:rPr>
        <w:t>Нефтеюганский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городской молдавский культурный центр «Наш дом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>Чорап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Татьян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Михайловн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виновной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ч.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15.33 Кодекса Российской Федерации об административных правонарушениях и назначить 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административное наказание в виде административного штрафа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300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триста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рублей.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Штраф подлежит уплате: Банк получателя - РКЦ Ханты-Мансийск//УФК по Ханты- Мансийскому автономному округу - Югре г. Ханты-Мансийск, БИК ТОФК – 007162163, счет получателя платежа (номер казначейского счета, Р/счет) – 03100643000000018700, Номер счета банка получателя (номер банковского счета, входящего в состав единого казначейского счета, Кор/счет) – 40102810245370000007, Получатель - УФК по Ханты-Мансийскому автономному округу - Югре (ОСФР по ХМАО - Югре, л/с 04874Ф87010), ИНН получателя – 8601002078, КПП получателя – 860101001, ОКТМО - 71871000 (по </w:t>
      </w:r>
      <w:r>
        <w:rPr>
          <w:rFonts w:ascii="Times New Roman" w:eastAsia="Times New Roman" w:hAnsi="Times New Roman" w:cs="Times New Roman"/>
          <w:sz w:val="28"/>
          <w:szCs w:val="28"/>
        </w:rPr>
        <w:t>месту регистрации должника), КБК 79711601230060003140 Административные штрафы, предусмотренные ч. 2 ст. 15.10, ст. 15.32, ст. 15.33 КоАП РФ (в части обязательного социального страхования от несчастных случаев на производстве и профессиональных заболеваний). В назначении платежа указать - Денежные взыскания на обязательное социальное страхование от НС и ПЗ, предусмотренные за нарушение статьи 15.33 КоАП, ФИО</w:t>
      </w:r>
      <w:r>
        <w:rPr>
          <w:rFonts w:ascii="Times New Roman" w:eastAsia="Times New Roman" w:hAnsi="Times New Roman" w:cs="Times New Roman"/>
          <w:sz w:val="28"/>
          <w:szCs w:val="28"/>
        </w:rPr>
        <w:t>, УИН 79786002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0224005</w:t>
      </w:r>
      <w:r>
        <w:rPr>
          <w:rFonts w:ascii="Times New Roman" w:eastAsia="Times New Roman" w:hAnsi="Times New Roman" w:cs="Times New Roman"/>
          <w:sz w:val="28"/>
          <w:szCs w:val="28"/>
        </w:rPr>
        <w:t>9655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статьей 31.5 Кодекса Российской Федерации об административных правонарушениях.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Разъяснить, что за неуплату административного штрафа в установленный срок предусмотрена административная ответственность в соответствии с ч. 1 ст. 20.25 Кодекса Российской Федерации об административных правонарушениях.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8"/>
          <w:szCs w:val="28"/>
        </w:rPr>
        <w:t>Нефтеюганский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районный суд ХМАО-Югры в течение десяти суток со дня получения копии постановления через мирового судью, вынесшего постановление. В этот же срок постановление может быть опротестовано прокурором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</w:p>
    <w:p>
      <w:pPr>
        <w:tabs>
          <w:tab w:val="left" w:pos="6570"/>
        </w:tabs>
        <w:spacing w:before="0" w:after="0"/>
        <w:ind w:left="1560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Р.В. </w:t>
      </w:r>
      <w:r>
        <w:rPr>
          <w:rFonts w:ascii="Times New Roman" w:eastAsia="Times New Roman" w:hAnsi="Times New Roman" w:cs="Times New Roman"/>
          <w:sz w:val="28"/>
          <w:szCs w:val="28"/>
        </w:rPr>
        <w:t>Агзямова</w:t>
      </w: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tabs>
          <w:tab w:val="left" w:pos="851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tabs>
          <w:tab w:val="left" w:pos="709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tabs>
          <w:tab w:val="left" w:pos="709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tabs>
          <w:tab w:val="left" w:pos="851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tabs>
          <w:tab w:val="left" w:pos="709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10924" w:type="dxa"/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5255"/>
        <w:gridCol w:w="5669"/>
      </w:tblGrid>
      <w:tr>
        <w:tblPrEx>
          <w:tblW w:w="10924" w:type="dxa"/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1"/>
        </w:trPr>
        <w:tc>
          <w:tcPr>
            <w:tcW w:w="5245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ind w:left="567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hyperlink r:id="rId6" w:history="1"/>
          </w:p>
        </w:tc>
        <w:tc>
          <w:tcPr>
            <w:tcW w:w="5679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ind w:left="567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</w:p>
        </w:tc>
      </w:tr>
    </w:tbl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ExternalSystemDefinedgrp-52rplc-6">
    <w:name w:val="cat-ExternalSystemDefined grp-52 rplc-6"/>
    <w:basedOn w:val="DefaultParagraphFont"/>
  </w:style>
  <w:style w:type="character" w:customStyle="1" w:styleId="cat-PassportDatagrp-41rplc-7">
    <w:name w:val="cat-PassportData grp-41 rplc-7"/>
    <w:basedOn w:val="DefaultParagraphFont"/>
  </w:style>
  <w:style w:type="character" w:customStyle="1" w:styleId="cat-UserDefinedgrp-54rplc-8">
    <w:name w:val="cat-UserDefined grp-54 rplc-8"/>
    <w:basedOn w:val="DefaultParagraphFont"/>
  </w:style>
  <w:style w:type="character" w:customStyle="1" w:styleId="cat-PassportDatagrp-42rplc-10">
    <w:name w:val="cat-PassportData grp-42 rplc-10"/>
    <w:basedOn w:val="DefaultParagraphFont"/>
  </w:style>
  <w:style w:type="character" w:customStyle="1" w:styleId="cat-ExternalSystemDefinedgrp-53rplc-11">
    <w:name w:val="cat-ExternalSystemDefined grp-53 rplc-11"/>
    <w:basedOn w:val="DefaultParagraphFont"/>
  </w:style>
  <w:style w:type="character" w:customStyle="1" w:styleId="cat-ExternalSystemDefinedgrp-51rplc-12">
    <w:name w:val="cat-ExternalSystemDefined grp-51 rplc-12"/>
    <w:basedOn w:val="DefaultParagraphFont"/>
  </w:style>
  <w:style w:type="character" w:customStyle="1" w:styleId="cat-UserDefinedgrp-55rplc-25">
    <w:name w:val="cat-UserDefined grp-55 rplc-25"/>
    <w:basedOn w:val="DefaultParagraphFont"/>
  </w:style>
  <w:style w:type="character" w:customStyle="1" w:styleId="cat-UserDefinedgrp-56rplc-48">
    <w:name w:val="cat-UserDefined grp-56 rplc-4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hyperlink" Target="http://mobileonline.garant.ru/" TargetMode="External" /><Relationship Id="rId6" Type="http://schemas.openxmlformats.org/officeDocument/2006/relationships/hyperlink" Target="http://www.mirsud86.ru" TargetMode="Externa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